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15" w:type="dxa"/>
        <w:jc w:val="center"/>
        <w:tblLook w:val="04A0" w:firstRow="1" w:lastRow="0" w:firstColumn="1" w:lastColumn="0" w:noHBand="0" w:noVBand="1"/>
      </w:tblPr>
      <w:tblGrid>
        <w:gridCol w:w="1844"/>
        <w:gridCol w:w="1399"/>
        <w:gridCol w:w="7272"/>
      </w:tblGrid>
      <w:tr w:rsidR="00C340A8" w:rsidRPr="00F971E0" w14:paraId="50F5E403" w14:textId="77777777" w:rsidTr="00B46FD3">
        <w:trPr>
          <w:cantSplit/>
          <w:trHeight w:val="422"/>
          <w:tblHeader/>
          <w:jc w:val="center"/>
        </w:trPr>
        <w:tc>
          <w:tcPr>
            <w:tcW w:w="1844" w:type="dxa"/>
            <w:shd w:val="clear" w:color="auto" w:fill="FFFF00"/>
            <w:vAlign w:val="center"/>
          </w:tcPr>
          <w:p w14:paraId="13BD978D" w14:textId="77777777" w:rsidR="00C340A8" w:rsidRPr="00164CAE" w:rsidRDefault="00363C74" w:rsidP="00ED4817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4CAE">
              <w:rPr>
                <w:rFonts w:ascii="Arial" w:hAnsi="Arial" w:cs="Arial"/>
                <w:b/>
                <w:sz w:val="20"/>
                <w:szCs w:val="24"/>
              </w:rPr>
              <w:t>Unidad A</w:t>
            </w:r>
            <w:r w:rsidR="00C340A8" w:rsidRPr="00164CAE">
              <w:rPr>
                <w:rFonts w:ascii="Arial" w:hAnsi="Arial" w:cs="Arial"/>
                <w:b/>
                <w:sz w:val="20"/>
                <w:szCs w:val="24"/>
              </w:rPr>
              <w:t>dministrativa</w:t>
            </w:r>
          </w:p>
        </w:tc>
        <w:tc>
          <w:tcPr>
            <w:tcW w:w="1399" w:type="dxa"/>
            <w:shd w:val="clear" w:color="auto" w:fill="FFFF00"/>
            <w:vAlign w:val="center"/>
          </w:tcPr>
          <w:p w14:paraId="6B6BC294" w14:textId="77777777" w:rsidR="00C340A8" w:rsidRPr="00164CAE" w:rsidRDefault="00C340A8" w:rsidP="00ED4817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4CAE">
              <w:rPr>
                <w:rFonts w:ascii="Arial" w:hAnsi="Arial" w:cs="Arial"/>
                <w:b/>
                <w:sz w:val="20"/>
                <w:szCs w:val="24"/>
              </w:rPr>
              <w:t>Actividad No.</w:t>
            </w:r>
          </w:p>
        </w:tc>
        <w:tc>
          <w:tcPr>
            <w:tcW w:w="7272" w:type="dxa"/>
            <w:shd w:val="clear" w:color="auto" w:fill="FFFF00"/>
            <w:vAlign w:val="center"/>
          </w:tcPr>
          <w:p w14:paraId="2014971D" w14:textId="77777777" w:rsidR="00C340A8" w:rsidRPr="00164CAE" w:rsidRDefault="00C340A8" w:rsidP="00ED4817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4CAE">
              <w:rPr>
                <w:rFonts w:ascii="Arial" w:hAnsi="Arial" w:cs="Arial"/>
                <w:b/>
                <w:sz w:val="20"/>
                <w:szCs w:val="24"/>
              </w:rPr>
              <w:t>Descripción de la actividad</w:t>
            </w:r>
          </w:p>
        </w:tc>
      </w:tr>
      <w:tr w:rsidR="008B6347" w:rsidRPr="00F971E0" w14:paraId="5DB89286" w14:textId="77777777" w:rsidTr="0092456F">
        <w:trPr>
          <w:trHeight w:val="2136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043934F0" w14:textId="19912966" w:rsidR="008B6347" w:rsidRDefault="00BA1624" w:rsidP="00661C88">
            <w:pPr>
              <w:pStyle w:val="Encabez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Unidad </w:t>
            </w:r>
            <w:r w:rsidR="00392329"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139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1B0999B" w14:textId="77118D25" w:rsidR="008B6347" w:rsidRDefault="00392329" w:rsidP="00661C88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 de entrada</w:t>
            </w:r>
          </w:p>
        </w:tc>
        <w:tc>
          <w:tcPr>
            <w:tcW w:w="7272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9C67663" w14:textId="4E26DA6F" w:rsidR="008B6347" w:rsidRDefault="00392329" w:rsidP="001117D1">
            <w:pPr>
              <w:pStyle w:val="Encabezado"/>
              <w:ind w:left="2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unidades administrativas responsables</w:t>
            </w:r>
            <w:r w:rsidR="00DF4DB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después de elaborar sus árboles de problemas y objetivos</w:t>
            </w:r>
            <w:r w:rsidR="00FE2D8F">
              <w:rPr>
                <w:rFonts w:ascii="Arial" w:hAnsi="Arial" w:cs="Arial"/>
                <w:sz w:val="24"/>
                <w:szCs w:val="24"/>
              </w:rPr>
              <w:t>;</w:t>
            </w:r>
            <w:r w:rsidR="00DF4DBD">
              <w:rPr>
                <w:rFonts w:ascii="Arial" w:hAnsi="Arial" w:cs="Arial"/>
                <w:sz w:val="24"/>
                <w:szCs w:val="24"/>
              </w:rPr>
              <w:t xml:space="preserve"> como resultado de ello, generan la Matriz de </w:t>
            </w:r>
            <w:r w:rsidR="00FE2D8F">
              <w:rPr>
                <w:rFonts w:ascii="Arial" w:hAnsi="Arial" w:cs="Arial"/>
                <w:sz w:val="24"/>
                <w:szCs w:val="24"/>
              </w:rPr>
              <w:t xml:space="preserve">Indicadores para </w:t>
            </w:r>
            <w:r w:rsidR="00DF4DBD">
              <w:rPr>
                <w:rFonts w:ascii="Arial" w:hAnsi="Arial" w:cs="Arial"/>
                <w:sz w:val="24"/>
                <w:szCs w:val="24"/>
              </w:rPr>
              <w:t>Resultados</w:t>
            </w:r>
            <w:r w:rsidR="00FE2D8F">
              <w:rPr>
                <w:rFonts w:ascii="Arial" w:hAnsi="Arial" w:cs="Arial"/>
                <w:sz w:val="24"/>
                <w:szCs w:val="24"/>
              </w:rPr>
              <w:t xml:space="preserve">, (MIR) documento </w:t>
            </w:r>
            <w:r w:rsidR="00F40306" w:rsidRPr="00AB7F7B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sin el cual no</w:t>
            </w:r>
            <w:r w:rsidR="00FE2D8F">
              <w:rPr>
                <w:rFonts w:ascii="Arial" w:hAnsi="Arial" w:cs="Arial"/>
                <w:sz w:val="24"/>
                <w:szCs w:val="24"/>
              </w:rPr>
              <w:t xml:space="preserve"> es posible la generación de las Fichas Técnicas de Indicadores de Desempeño</w:t>
            </w:r>
            <w:r w:rsidR="00AB7F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B6347" w:rsidRPr="000B6FEF" w14:paraId="2A88FBD3" w14:textId="77777777" w:rsidTr="00B46FD3">
        <w:trPr>
          <w:trHeight w:val="1623"/>
          <w:jc w:val="center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015D" w14:textId="492144D0" w:rsidR="008B6347" w:rsidRDefault="00BA1624" w:rsidP="00661C88">
            <w:pPr>
              <w:pStyle w:val="Encabez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 Administrativas Involucradas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308BB" w14:textId="7DC799BA" w:rsidR="008B6347" w:rsidRDefault="005F4E85" w:rsidP="00661C88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E8E11" w14:textId="77777777" w:rsidR="00C14479" w:rsidRDefault="0052360E" w:rsidP="007419F0">
            <w:pPr>
              <w:pStyle w:val="Encabezado"/>
              <w:spacing w:after="240"/>
              <w:ind w:left="2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Elaboran la ficha técnica del indicador de resultados, con el cual se les dará seguimiento a las líneas de acción contenidas en el PMD.</w:t>
            </w:r>
          </w:p>
          <w:p w14:paraId="04CACB21" w14:textId="77777777" w:rsidR="007419F0" w:rsidRDefault="007419F0" w:rsidP="007419F0">
            <w:pPr>
              <w:pStyle w:val="Encabezado"/>
              <w:spacing w:after="240"/>
              <w:ind w:left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9F0">
              <w:rPr>
                <w:rFonts w:ascii="Arial" w:hAnsi="Arial" w:cs="Arial"/>
                <w:b/>
                <w:bCs/>
                <w:sz w:val="20"/>
                <w:szCs w:val="20"/>
              </w:rPr>
              <w:t>Riesgos:</w:t>
            </w:r>
          </w:p>
          <w:p w14:paraId="304190F1" w14:textId="52D9A91E" w:rsidR="007419F0" w:rsidRDefault="007419F0" w:rsidP="007419F0">
            <w:pPr>
              <w:pStyle w:val="Encabezado"/>
              <w:numPr>
                <w:ilvl w:val="0"/>
                <w:numId w:val="2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Falta de conocimiento de los funcionarios responsables de cumplir con la ejecución de las líneas de acción derivadas del PMD;</w:t>
            </w:r>
          </w:p>
          <w:p w14:paraId="00BFB431" w14:textId="77777777" w:rsidR="007419F0" w:rsidRDefault="007419F0" w:rsidP="007419F0">
            <w:pPr>
              <w:pStyle w:val="Encabezado"/>
              <w:numPr>
                <w:ilvl w:val="0"/>
                <w:numId w:val="2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Falta de compromiso con el proceso de diseño y elaboración del indicador;</w:t>
            </w:r>
          </w:p>
          <w:p w14:paraId="5E8A3624" w14:textId="77777777" w:rsidR="007419F0" w:rsidRDefault="007419F0" w:rsidP="007419F0">
            <w:pPr>
              <w:pStyle w:val="Encabezado"/>
              <w:numPr>
                <w:ilvl w:val="0"/>
                <w:numId w:val="2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Falta de interés de los servidores públicos para la elaboración del indicador;</w:t>
            </w:r>
          </w:p>
          <w:p w14:paraId="4292FB7F" w14:textId="4396A732" w:rsidR="007419F0" w:rsidRDefault="00D14054" w:rsidP="007419F0">
            <w:pPr>
              <w:pStyle w:val="Encabezado"/>
              <w:numPr>
                <w:ilvl w:val="0"/>
                <w:numId w:val="2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Servidores públicos acostumbrados al pasado</w:t>
            </w:r>
            <w:r w:rsidR="00AB7F7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 trabajar sin un plan estratégico;</w:t>
            </w:r>
          </w:p>
          <w:p w14:paraId="55A8AAD2" w14:textId="1485009B" w:rsidR="00D14054" w:rsidRDefault="00D14054" w:rsidP="007419F0">
            <w:pPr>
              <w:pStyle w:val="Encabezado"/>
              <w:numPr>
                <w:ilvl w:val="0"/>
                <w:numId w:val="2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Temor de realizar mal la construcción del indicador</w:t>
            </w:r>
            <w:r w:rsidR="00AB7F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5ABC76" w14:textId="77777777" w:rsidR="00D14054" w:rsidRPr="00D14054" w:rsidRDefault="00D14054" w:rsidP="00D14054">
            <w:pPr>
              <w:pStyle w:val="Encabezado"/>
              <w:spacing w:after="240"/>
              <w:ind w:left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4054">
              <w:rPr>
                <w:rFonts w:ascii="Arial" w:hAnsi="Arial" w:cs="Arial"/>
                <w:b/>
                <w:bCs/>
                <w:sz w:val="20"/>
                <w:szCs w:val="20"/>
              </w:rPr>
              <w:t>Solución:</w:t>
            </w:r>
          </w:p>
          <w:p w14:paraId="0C568EBA" w14:textId="77777777" w:rsidR="00D14054" w:rsidRDefault="0096457A" w:rsidP="00D14054">
            <w:pPr>
              <w:pStyle w:val="Encabezado"/>
              <w:spacing w:after="24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H. Ayuntamiento </w:t>
            </w:r>
            <w:r w:rsidRPr="0096457A">
              <w:rPr>
                <w:rFonts w:ascii="Arial" w:hAnsi="Arial" w:cs="Arial"/>
                <w:i/>
                <w:iCs/>
                <w:sz w:val="20"/>
                <w:szCs w:val="20"/>
              </w:rPr>
              <w:t>debe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E7E">
              <w:rPr>
                <w:rFonts w:ascii="Arial" w:hAnsi="Arial" w:cs="Arial"/>
                <w:sz w:val="20"/>
                <w:szCs w:val="20"/>
              </w:rPr>
              <w:t xml:space="preserve">diseñar y </w:t>
            </w:r>
            <w:r>
              <w:rPr>
                <w:rFonts w:ascii="Arial" w:hAnsi="Arial" w:cs="Arial"/>
                <w:sz w:val="20"/>
                <w:szCs w:val="20"/>
              </w:rPr>
              <w:t xml:space="preserve">mantener un programa de capacitación y formación permanente </w:t>
            </w:r>
            <w:r w:rsidR="00C96E7E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los servidores públicos </w:t>
            </w:r>
            <w:r w:rsidR="00B93539">
              <w:rPr>
                <w:rFonts w:ascii="Arial" w:hAnsi="Arial" w:cs="Arial"/>
                <w:sz w:val="20"/>
                <w:szCs w:val="20"/>
              </w:rPr>
              <w:t xml:space="preserve">que permita hacer frente a </w:t>
            </w:r>
            <w:r>
              <w:rPr>
                <w:rFonts w:ascii="Arial" w:hAnsi="Arial" w:cs="Arial"/>
                <w:sz w:val="20"/>
                <w:szCs w:val="20"/>
              </w:rPr>
              <w:t>cada uno de los riesgos</w:t>
            </w:r>
            <w:r w:rsidR="00B93539">
              <w:rPr>
                <w:rFonts w:ascii="Arial" w:hAnsi="Arial" w:cs="Arial"/>
                <w:sz w:val="20"/>
                <w:szCs w:val="20"/>
              </w:rPr>
              <w:t xml:space="preserve"> previstos</w:t>
            </w:r>
            <w:r>
              <w:rPr>
                <w:rFonts w:ascii="Arial" w:hAnsi="Arial" w:cs="Arial"/>
                <w:sz w:val="20"/>
                <w:szCs w:val="20"/>
              </w:rPr>
              <w:t>, para atenuar las amenazas derivadas de ellos.</w:t>
            </w:r>
          </w:p>
          <w:p w14:paraId="7762F61F" w14:textId="5CEDCCBC" w:rsidR="00C96E7E" w:rsidRPr="007419F0" w:rsidRDefault="00C96E7E" w:rsidP="00D14054">
            <w:pPr>
              <w:pStyle w:val="Encabezado"/>
              <w:spacing w:after="24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Ahora </w:t>
            </w:r>
            <w:r w:rsidR="00E170A2">
              <w:rPr>
                <w:rFonts w:ascii="Arial" w:hAnsi="Arial" w:cs="Arial"/>
                <w:sz w:val="20"/>
                <w:szCs w:val="20"/>
              </w:rPr>
              <w:t>bien,</w:t>
            </w:r>
            <w:r>
              <w:rPr>
                <w:rFonts w:ascii="Arial" w:hAnsi="Arial" w:cs="Arial"/>
                <w:sz w:val="20"/>
                <w:szCs w:val="20"/>
              </w:rPr>
              <w:t xml:space="preserve"> pudieran surgir otros riesgos no contemplados; sin embargo, se deberán desarrollar planes para cada uno de ellos, pues la descripción anterior </w:t>
            </w:r>
            <w:r w:rsidR="00894240">
              <w:rPr>
                <w:rFonts w:ascii="Arial" w:hAnsi="Arial" w:cs="Arial"/>
                <w:sz w:val="20"/>
                <w:szCs w:val="20"/>
              </w:rPr>
              <w:t>es enunciativa, no limitativa.</w:t>
            </w:r>
          </w:p>
        </w:tc>
      </w:tr>
      <w:tr w:rsidR="00C14479" w:rsidRPr="00F971E0" w14:paraId="04F9C206" w14:textId="77777777" w:rsidTr="00B93539">
        <w:trPr>
          <w:cantSplit/>
          <w:trHeight w:val="162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F54" w14:textId="34044CAB" w:rsidR="00C14479" w:rsidRDefault="00C95FEB" w:rsidP="00C14479">
            <w:pPr>
              <w:pStyle w:val="Encabezado"/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Unidad Administrativa inmediata superior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BA22" w14:textId="3CC40B24" w:rsidR="00C14479" w:rsidRDefault="0052360E" w:rsidP="00C14479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0C69" w14:textId="77777777" w:rsidR="00C14479" w:rsidRDefault="00C95FEB" w:rsidP="005F4E85">
            <w:pPr>
              <w:pStyle w:val="Encabezado"/>
              <w:ind w:left="2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 que el indicador corresponda a sus atribuciones y est</w:t>
            </w:r>
            <w:r w:rsidR="00D472BA">
              <w:rPr>
                <w:rFonts w:ascii="Arial" w:hAnsi="Arial" w:cs="Arial"/>
                <w:sz w:val="24"/>
                <w:szCs w:val="24"/>
              </w:rPr>
              <w:t>as, correspondan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72B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 PMD.</w:t>
            </w:r>
          </w:p>
          <w:p w14:paraId="57AA8D15" w14:textId="77777777" w:rsidR="0096457A" w:rsidRDefault="0096457A" w:rsidP="005F4E85">
            <w:pPr>
              <w:pStyle w:val="Encabezado"/>
              <w:ind w:left="2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2FD83F" w14:textId="77777777" w:rsidR="0096457A" w:rsidRDefault="0096457A" w:rsidP="0096457A">
            <w:pPr>
              <w:pStyle w:val="Encabezad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inmediato superior de la unidad administrativa que genera el indicador, </w:t>
            </w:r>
            <w:r w:rsidRPr="0096457A">
              <w:rPr>
                <w:rFonts w:ascii="Arial" w:hAnsi="Arial" w:cs="Arial"/>
                <w:i/>
                <w:iCs/>
                <w:sz w:val="20"/>
                <w:szCs w:val="20"/>
              </w:rPr>
              <w:t>debe</w:t>
            </w:r>
            <w:r>
              <w:rPr>
                <w:rFonts w:ascii="Arial" w:hAnsi="Arial" w:cs="Arial"/>
                <w:sz w:val="20"/>
                <w:szCs w:val="20"/>
              </w:rPr>
              <w:t xml:space="preserve"> revisar que derive de las atribuciones del titular que lo presenta para su revisión; así como, del PMD.</w:t>
            </w:r>
          </w:p>
          <w:p w14:paraId="42D3306A" w14:textId="77777777" w:rsidR="00B93539" w:rsidRDefault="00B93539" w:rsidP="0096457A">
            <w:pPr>
              <w:pStyle w:val="Encabezad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F911C9" w14:textId="77777777" w:rsidR="00B93539" w:rsidRPr="00B93539" w:rsidRDefault="00B93539" w:rsidP="00E170A2">
            <w:pPr>
              <w:pStyle w:val="Encabezado"/>
              <w:spacing w:after="240"/>
              <w:ind w:left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539">
              <w:rPr>
                <w:rFonts w:ascii="Arial" w:hAnsi="Arial" w:cs="Arial"/>
                <w:b/>
                <w:bCs/>
                <w:sz w:val="20"/>
                <w:szCs w:val="20"/>
              </w:rPr>
              <w:t>Riesgos</w:t>
            </w:r>
          </w:p>
          <w:p w14:paraId="10082504" w14:textId="77777777" w:rsidR="00B93539" w:rsidRDefault="00B93539" w:rsidP="00B93539">
            <w:pPr>
              <w:pStyle w:val="Encabezado"/>
              <w:numPr>
                <w:ilvl w:val="0"/>
                <w:numId w:val="3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el indicador propuesto, no corresponda al PMD</w:t>
            </w:r>
          </w:p>
          <w:p w14:paraId="680BAE7C" w14:textId="77777777" w:rsidR="00B93539" w:rsidRPr="00B93539" w:rsidRDefault="00B93539" w:rsidP="00B93539">
            <w:pPr>
              <w:pStyle w:val="Encabezado"/>
              <w:spacing w:after="240"/>
              <w:ind w:left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539">
              <w:rPr>
                <w:rFonts w:ascii="Arial" w:hAnsi="Arial" w:cs="Arial"/>
                <w:b/>
                <w:bCs/>
                <w:sz w:val="20"/>
                <w:szCs w:val="20"/>
              </w:rPr>
              <w:t>Solución</w:t>
            </w:r>
          </w:p>
          <w:p w14:paraId="1C83BD16" w14:textId="244CA119" w:rsidR="00B93539" w:rsidRPr="00B93539" w:rsidRDefault="00B93539" w:rsidP="00B93539">
            <w:pPr>
              <w:pStyle w:val="Encabezado"/>
              <w:spacing w:after="24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el indicador no corresponde a una de las líneas de acción previstas en el PMD, se le regresa al titular; a menos que el indicador propuesto, ayude a la consecución de los objetivos marcados en dicho plan. </w:t>
            </w:r>
          </w:p>
        </w:tc>
      </w:tr>
      <w:tr w:rsidR="00FE1CA7" w:rsidRPr="00F971E0" w14:paraId="168BDED9" w14:textId="77777777" w:rsidTr="00B46FD3">
        <w:trPr>
          <w:trHeight w:val="1232"/>
          <w:jc w:val="center"/>
        </w:trPr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50929" w14:textId="45977A05" w:rsidR="00FE1CA7" w:rsidRDefault="00BA45C8" w:rsidP="00FE1CA7">
            <w:pPr>
              <w:pStyle w:val="Encabez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</w:t>
            </w:r>
            <w:r w:rsidR="00AB7F7B">
              <w:rPr>
                <w:rFonts w:ascii="Arial" w:hAnsi="Arial" w:cs="Arial"/>
                <w:sz w:val="24"/>
                <w:szCs w:val="24"/>
              </w:rPr>
              <w:t xml:space="preserve"> de Planeación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C8D77CE" w14:textId="4F98EAD3" w:rsidR="00FE1CA7" w:rsidRDefault="00C95FEB" w:rsidP="00FE1CA7">
            <w:pPr>
              <w:pStyle w:val="Encabezado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33C6D99" w14:textId="77777777" w:rsidR="00E170A2" w:rsidRDefault="00C95FEB" w:rsidP="00E170A2">
            <w:pPr>
              <w:pStyle w:val="Encabezado"/>
              <w:spacing w:after="240"/>
              <w:ind w:left="2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 la procedencia</w:t>
            </w:r>
            <w:r w:rsidR="00D472B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la relación del indicador </w:t>
            </w:r>
            <w:r w:rsidR="00D472BA">
              <w:rPr>
                <w:rFonts w:ascii="Arial" w:hAnsi="Arial" w:cs="Arial"/>
                <w:sz w:val="24"/>
                <w:szCs w:val="24"/>
              </w:rPr>
              <w:t xml:space="preserve">de desempeño </w:t>
            </w:r>
            <w:r>
              <w:rPr>
                <w:rFonts w:ascii="Arial" w:hAnsi="Arial" w:cs="Arial"/>
                <w:sz w:val="24"/>
                <w:szCs w:val="24"/>
              </w:rPr>
              <w:t xml:space="preserve">con el </w:t>
            </w:r>
            <w:r w:rsidR="00292D8C">
              <w:rPr>
                <w:rFonts w:ascii="Arial" w:hAnsi="Arial" w:cs="Arial"/>
                <w:sz w:val="24"/>
                <w:szCs w:val="24"/>
              </w:rPr>
              <w:t>PMD;</w:t>
            </w:r>
            <w:r w:rsidR="00D472BA">
              <w:rPr>
                <w:rFonts w:ascii="Arial" w:hAnsi="Arial" w:cs="Arial"/>
                <w:sz w:val="24"/>
                <w:szCs w:val="24"/>
              </w:rPr>
              <w:t xml:space="preserve"> así como, la estructura del indicador.</w:t>
            </w:r>
          </w:p>
          <w:p w14:paraId="0233C151" w14:textId="011AB56F" w:rsidR="00E170A2" w:rsidRPr="00E170A2" w:rsidRDefault="00E170A2" w:rsidP="00BA45C8">
            <w:pPr>
              <w:pStyle w:val="Encabezado"/>
              <w:spacing w:after="24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indicadores de desempeño de manera invariable deben provenir y estar direccionados por el PMD, de otra</w:t>
            </w:r>
            <w:r w:rsidR="00BA45C8">
              <w:rPr>
                <w:rFonts w:ascii="Arial" w:hAnsi="Arial" w:cs="Arial"/>
                <w:sz w:val="20"/>
                <w:szCs w:val="20"/>
              </w:rPr>
              <w:t xml:space="preserve"> forma no tienen objeto de ser.</w:t>
            </w:r>
          </w:p>
        </w:tc>
      </w:tr>
      <w:tr w:rsidR="00FE1CA7" w:rsidRPr="00F971E0" w14:paraId="6E512366" w14:textId="77777777" w:rsidTr="0092456F">
        <w:trPr>
          <w:trHeight w:val="1623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0EF0FAF0" w14:textId="2B798D38" w:rsidR="00FE1CA7" w:rsidRDefault="00292D8C" w:rsidP="00292D8C">
            <w:pPr>
              <w:pStyle w:val="Encabez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Órgano de Control Interno Municipal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73F9" w14:textId="410C9F1E" w:rsidR="00FE1CA7" w:rsidRDefault="00D472BA" w:rsidP="0052360E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6682" w14:textId="77777777" w:rsidR="00FE1CA7" w:rsidRDefault="00143FCC" w:rsidP="00D72821">
            <w:pPr>
              <w:pStyle w:val="Encabezado"/>
              <w:spacing w:before="240" w:after="240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Valida el cumplimiento de diseño, claridad, relevancia, adecuación y monitoreabilidad del indicador de desempeño.</w:t>
            </w:r>
          </w:p>
          <w:p w14:paraId="67D5AFC8" w14:textId="6453C345" w:rsidR="0012493E" w:rsidRPr="00E170A2" w:rsidRDefault="00D72821" w:rsidP="00E170A2">
            <w:pPr>
              <w:pStyle w:val="Encabezad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0A2">
              <w:rPr>
                <w:rFonts w:ascii="Arial" w:hAnsi="Arial" w:cs="Arial"/>
                <w:sz w:val="20"/>
                <w:szCs w:val="20"/>
              </w:rPr>
              <w:t>E</w:t>
            </w:r>
            <w:r w:rsidR="0012493E" w:rsidRPr="00E170A2">
              <w:rPr>
                <w:rFonts w:ascii="Arial" w:hAnsi="Arial" w:cs="Arial"/>
                <w:sz w:val="20"/>
                <w:szCs w:val="20"/>
              </w:rPr>
              <w:t>l indicador</w:t>
            </w:r>
            <w:r w:rsidRPr="00E170A2">
              <w:rPr>
                <w:rFonts w:ascii="Arial" w:hAnsi="Arial" w:cs="Arial"/>
                <w:sz w:val="20"/>
                <w:szCs w:val="20"/>
              </w:rPr>
              <w:t xml:space="preserve"> de desempeño,</w:t>
            </w:r>
            <w:r w:rsidR="0012493E" w:rsidRPr="00E170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0A2">
              <w:rPr>
                <w:rFonts w:ascii="Arial" w:hAnsi="Arial" w:cs="Arial"/>
                <w:sz w:val="20"/>
                <w:szCs w:val="20"/>
              </w:rPr>
              <w:t>puede ser</w:t>
            </w:r>
            <w:r w:rsidR="0012493E" w:rsidRPr="00E170A2">
              <w:rPr>
                <w:rFonts w:ascii="Arial" w:hAnsi="Arial" w:cs="Arial"/>
                <w:sz w:val="20"/>
                <w:szCs w:val="20"/>
              </w:rPr>
              <w:t xml:space="preserve"> una medida cuantitativa o cualitativa </w:t>
            </w:r>
            <w:r w:rsidRPr="00E170A2">
              <w:rPr>
                <w:rFonts w:ascii="Arial" w:hAnsi="Arial" w:cs="Arial"/>
                <w:sz w:val="20"/>
                <w:szCs w:val="20"/>
              </w:rPr>
              <w:t>de</w:t>
            </w:r>
            <w:r w:rsidR="0012493E" w:rsidRPr="00E170A2">
              <w:rPr>
                <w:rFonts w:ascii="Arial" w:hAnsi="Arial" w:cs="Arial"/>
                <w:sz w:val="20"/>
                <w:szCs w:val="20"/>
              </w:rPr>
              <w:t>l programa</w:t>
            </w:r>
            <w:r w:rsidR="002F0DF7">
              <w:rPr>
                <w:rFonts w:ascii="Arial" w:hAnsi="Arial" w:cs="Arial"/>
                <w:sz w:val="20"/>
                <w:szCs w:val="20"/>
              </w:rPr>
              <w:t>,</w:t>
            </w:r>
            <w:r w:rsidR="0012493E" w:rsidRPr="00E170A2">
              <w:rPr>
                <w:rFonts w:ascii="Arial" w:hAnsi="Arial" w:cs="Arial"/>
                <w:sz w:val="20"/>
                <w:szCs w:val="20"/>
              </w:rPr>
              <w:t xml:space="preserve"> relaciona la medición de dos o más variables asociadas </w:t>
            </w:r>
            <w:r w:rsidR="002F0DF7">
              <w:rPr>
                <w:rFonts w:ascii="Arial" w:hAnsi="Arial" w:cs="Arial"/>
                <w:sz w:val="20"/>
                <w:szCs w:val="20"/>
              </w:rPr>
              <w:t xml:space="preserve">y está </w:t>
            </w:r>
            <w:r w:rsidRPr="00E170A2">
              <w:rPr>
                <w:rFonts w:ascii="Arial" w:hAnsi="Arial" w:cs="Arial"/>
                <w:sz w:val="20"/>
                <w:szCs w:val="20"/>
              </w:rPr>
              <w:t>orientado</w:t>
            </w:r>
            <w:r w:rsidR="0012493E" w:rsidRPr="00E170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DF7">
              <w:rPr>
                <w:rFonts w:ascii="Arial" w:hAnsi="Arial" w:cs="Arial"/>
                <w:sz w:val="20"/>
                <w:szCs w:val="20"/>
              </w:rPr>
              <w:t>a</w:t>
            </w:r>
            <w:r w:rsidR="0012493E" w:rsidRPr="00E170A2">
              <w:rPr>
                <w:rFonts w:ascii="Arial" w:hAnsi="Arial" w:cs="Arial"/>
                <w:sz w:val="20"/>
                <w:szCs w:val="20"/>
              </w:rPr>
              <w:t>l cumplimiento de objetivo</w:t>
            </w:r>
            <w:r w:rsidR="002F0DF7">
              <w:rPr>
                <w:rFonts w:ascii="Arial" w:hAnsi="Arial" w:cs="Arial"/>
                <w:sz w:val="20"/>
                <w:szCs w:val="20"/>
              </w:rPr>
              <w:t>s del PMD</w:t>
            </w:r>
            <w:r w:rsidR="0012493E" w:rsidRPr="00E170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8E36E5" w14:textId="77777777" w:rsidR="0012493E" w:rsidRPr="00E170A2" w:rsidRDefault="0012493E" w:rsidP="00E170A2">
            <w:pPr>
              <w:pStyle w:val="Encabezad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FBD80" w14:textId="6611D47F" w:rsidR="005D30D5" w:rsidRPr="00E170A2" w:rsidRDefault="002F0DF7" w:rsidP="002F0DF7">
            <w:pPr>
              <w:pStyle w:val="Encabezado"/>
              <w:spacing w:after="24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8405C" w:rsidRPr="00E170A2">
              <w:rPr>
                <w:rFonts w:ascii="Arial" w:hAnsi="Arial" w:cs="Arial"/>
                <w:sz w:val="20"/>
                <w:szCs w:val="20"/>
              </w:rPr>
              <w:t xml:space="preserve">ermite acotar la acción del programa hacia la prioridad </w:t>
            </w:r>
            <w:r>
              <w:rPr>
                <w:rFonts w:ascii="Arial" w:hAnsi="Arial" w:cs="Arial"/>
                <w:sz w:val="20"/>
                <w:szCs w:val="20"/>
              </w:rPr>
              <w:t>que</w:t>
            </w:r>
            <w:r w:rsidR="00A8405C" w:rsidRPr="00E170A2">
              <w:rPr>
                <w:rFonts w:ascii="Arial" w:hAnsi="Arial" w:cs="Arial"/>
                <w:sz w:val="20"/>
                <w:szCs w:val="20"/>
              </w:rPr>
              <w:t xml:space="preserve"> aborda la solución a la situación problemática que dio paso a su diseño y m</w:t>
            </w:r>
            <w:r>
              <w:rPr>
                <w:rFonts w:ascii="Arial" w:hAnsi="Arial" w:cs="Arial"/>
                <w:sz w:val="20"/>
                <w:szCs w:val="20"/>
              </w:rPr>
              <w:t>ide su</w:t>
            </w:r>
            <w:r w:rsidR="005D30D5" w:rsidRPr="00E170A2">
              <w:rPr>
                <w:rFonts w:ascii="Arial" w:hAnsi="Arial" w:cs="Arial"/>
                <w:sz w:val="20"/>
                <w:szCs w:val="20"/>
              </w:rPr>
              <w:t xml:space="preserve"> cumplimiento de los objetivos en sus cuatro dimensiones:</w:t>
            </w:r>
            <w:r>
              <w:rPr>
                <w:rFonts w:ascii="Arial" w:hAnsi="Arial" w:cs="Arial"/>
                <w:sz w:val="20"/>
                <w:szCs w:val="20"/>
              </w:rPr>
              <w:t xml:space="preserve"> cantidad, calidad, costo y tiempo</w:t>
            </w:r>
            <w:r w:rsidRPr="00E170A2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FCF508" w14:textId="697F9A0C" w:rsidR="00E170A2" w:rsidRPr="0012493E" w:rsidRDefault="00E170A2" w:rsidP="00E170A2">
            <w:pPr>
              <w:pStyle w:val="Encabezado"/>
              <w:spacing w:after="24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0A2">
              <w:rPr>
                <w:rFonts w:ascii="Arial" w:hAnsi="Arial" w:cs="Arial"/>
                <w:sz w:val="20"/>
                <w:szCs w:val="20"/>
              </w:rPr>
              <w:t xml:space="preserve">La evidencia de cumplimiento </w:t>
            </w:r>
            <w:r>
              <w:rPr>
                <w:rFonts w:ascii="Arial" w:hAnsi="Arial" w:cs="Arial"/>
                <w:sz w:val="20"/>
                <w:szCs w:val="20"/>
              </w:rPr>
              <w:t xml:space="preserve">de los criterios mencionados en el párrafo anterior </w:t>
            </w:r>
            <w:r w:rsidR="00810079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E170A2">
              <w:rPr>
                <w:rFonts w:ascii="Arial" w:hAnsi="Arial" w:cs="Arial"/>
                <w:sz w:val="20"/>
                <w:szCs w:val="20"/>
              </w:rPr>
              <w:t>por</w:t>
            </w:r>
            <w:r w:rsidR="00810079">
              <w:rPr>
                <w:rFonts w:ascii="Arial" w:hAnsi="Arial" w:cs="Arial"/>
                <w:sz w:val="20"/>
                <w:szCs w:val="20"/>
              </w:rPr>
              <w:t xml:space="preserve"> lo</w:t>
            </w:r>
            <w:r w:rsidRPr="00E170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que</w:t>
            </w:r>
            <w:r w:rsidRPr="00E170A2">
              <w:rPr>
                <w:rFonts w:ascii="Arial" w:hAnsi="Arial" w:cs="Arial"/>
                <w:sz w:val="20"/>
                <w:szCs w:val="20"/>
              </w:rPr>
              <w:t xml:space="preserve"> se determina</w:t>
            </w:r>
            <w:r>
              <w:rPr>
                <w:rFonts w:ascii="Arial" w:hAnsi="Arial" w:cs="Arial"/>
                <w:sz w:val="20"/>
                <w:szCs w:val="20"/>
              </w:rPr>
              <w:t xml:space="preserve"> su validez</w:t>
            </w:r>
            <w:r w:rsidR="0081007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079">
              <w:rPr>
                <w:rFonts w:ascii="Arial" w:hAnsi="Arial" w:cs="Arial"/>
                <w:i/>
                <w:iCs/>
                <w:sz w:val="20"/>
                <w:szCs w:val="20"/>
              </w:rPr>
              <w:t>se encuentra implícito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las firmas del documento </w:t>
            </w:r>
            <w:r w:rsidR="002F0DF7">
              <w:rPr>
                <w:rFonts w:ascii="Arial" w:hAnsi="Arial" w:cs="Arial"/>
                <w:sz w:val="20"/>
                <w:szCs w:val="20"/>
              </w:rPr>
              <w:t>denominado ficha técnica de indicador de desempeño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1CA7" w:rsidRPr="00B90878" w14:paraId="1A0DCAFF" w14:textId="77777777" w:rsidTr="0092456F">
        <w:trPr>
          <w:trHeight w:val="1665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39C7E4AF" w14:textId="7217027E" w:rsidR="00FE1CA7" w:rsidRDefault="00BA45C8" w:rsidP="00FE1CA7">
            <w:pPr>
              <w:pStyle w:val="Encabez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Instancia Técnica </w:t>
            </w:r>
            <w:r w:rsidR="007C498D">
              <w:rPr>
                <w:rFonts w:ascii="Arial" w:hAnsi="Arial" w:cs="Arial"/>
                <w:sz w:val="24"/>
                <w:szCs w:val="24"/>
              </w:rPr>
              <w:t>de Evaluación del Desempeño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CE551" w14:textId="16AD53E9" w:rsidR="00FE1CA7" w:rsidRDefault="007C498D" w:rsidP="00FE1CA7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26EDA" w14:textId="77777777" w:rsidR="00810079" w:rsidRDefault="00F80AE4" w:rsidP="00810079">
            <w:pPr>
              <w:pStyle w:val="Encabezado"/>
              <w:spacing w:after="240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Otorga su visto bueno debido a </w:t>
            </w:r>
            <w:r w:rsidR="00A41CEA">
              <w:rPr>
                <w:rFonts w:ascii="Arial" w:hAnsi="Arial" w:cs="Arial"/>
                <w:sz w:val="24"/>
                <w:szCs w:val="24"/>
              </w:rPr>
              <w:t xml:space="preserve">que, a </w:t>
            </w:r>
            <w:r>
              <w:rPr>
                <w:rFonts w:ascii="Arial" w:hAnsi="Arial" w:cs="Arial"/>
                <w:sz w:val="24"/>
                <w:szCs w:val="24"/>
              </w:rPr>
              <w:t xml:space="preserve">este indicador le </w:t>
            </w:r>
            <w:r w:rsidR="00A41CEA">
              <w:rPr>
                <w:rFonts w:ascii="Arial" w:hAnsi="Arial" w:cs="Arial"/>
                <w:sz w:val="24"/>
                <w:szCs w:val="24"/>
              </w:rPr>
              <w:t>dará</w:t>
            </w:r>
            <w:r>
              <w:rPr>
                <w:rFonts w:ascii="Arial" w:hAnsi="Arial" w:cs="Arial"/>
                <w:sz w:val="24"/>
                <w:szCs w:val="24"/>
              </w:rPr>
              <w:t xml:space="preserve"> seguimiento y a su </w:t>
            </w:r>
            <w:r w:rsidR="00A41CEA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A41CEA">
              <w:rPr>
                <w:rFonts w:ascii="Arial" w:hAnsi="Arial" w:cs="Arial"/>
                <w:sz w:val="24"/>
                <w:szCs w:val="24"/>
              </w:rPr>
              <w:t xml:space="preserve">z, </w:t>
            </w:r>
            <w:r>
              <w:rPr>
                <w:rFonts w:ascii="Arial" w:hAnsi="Arial" w:cs="Arial"/>
                <w:sz w:val="24"/>
                <w:szCs w:val="24"/>
              </w:rPr>
              <w:t>lo estará evaluando.</w:t>
            </w:r>
          </w:p>
          <w:p w14:paraId="3641EC2A" w14:textId="35114237" w:rsidR="00810079" w:rsidRPr="00810079" w:rsidRDefault="00810079" w:rsidP="00BA45C8">
            <w:pPr>
              <w:pStyle w:val="Encabezado"/>
              <w:spacing w:after="24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BA45C8">
              <w:rPr>
                <w:rFonts w:ascii="Arial" w:hAnsi="Arial" w:cs="Arial"/>
                <w:sz w:val="20"/>
                <w:szCs w:val="20"/>
              </w:rPr>
              <w:t>Instancia Técnica de Evaluación del Desempeño</w:t>
            </w:r>
            <w:r>
              <w:rPr>
                <w:rFonts w:ascii="Arial" w:hAnsi="Arial" w:cs="Arial"/>
                <w:sz w:val="20"/>
                <w:szCs w:val="20"/>
              </w:rPr>
              <w:t xml:space="preserve">, toma como base todas las fichas técnicas de </w:t>
            </w:r>
            <w:r w:rsidR="00BA45C8">
              <w:rPr>
                <w:rFonts w:ascii="Arial" w:hAnsi="Arial" w:cs="Arial"/>
                <w:sz w:val="20"/>
                <w:szCs w:val="20"/>
              </w:rPr>
              <w:t>Indicadores</w:t>
            </w:r>
            <w:r>
              <w:rPr>
                <w:rFonts w:ascii="Arial" w:hAnsi="Arial" w:cs="Arial"/>
                <w:sz w:val="20"/>
                <w:szCs w:val="20"/>
              </w:rPr>
              <w:t xml:space="preserve"> del desempeño para evaluar el avance de los programas contenidos en el PMD, emite su dictamen y lo publica en la página de transparencia del H. Ayuntamiento.</w:t>
            </w:r>
          </w:p>
        </w:tc>
      </w:tr>
      <w:tr w:rsidR="00FE1CA7" w:rsidRPr="00F971E0" w14:paraId="17AA9BC0" w14:textId="77777777" w:rsidTr="00B83C7A">
        <w:trPr>
          <w:trHeight w:val="1623"/>
          <w:jc w:val="center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153E8" w14:textId="4EEFEE39" w:rsidR="00FE1CA7" w:rsidRDefault="00BA45C8" w:rsidP="00FE1CA7">
            <w:pPr>
              <w:pStyle w:val="Encabez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Tesorería Municipal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B8C1" w14:textId="700AD1D9" w:rsidR="00FE1CA7" w:rsidRDefault="003F7AEC" w:rsidP="00FE1CA7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B52A" w14:textId="77777777" w:rsidR="006E2A38" w:rsidRDefault="003F7AEC" w:rsidP="00810079">
            <w:pPr>
              <w:pStyle w:val="Encabezado"/>
              <w:spacing w:after="240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Otorga su visto bueno, debido a que la acción a realizarse cuenta con recursos.</w:t>
            </w:r>
          </w:p>
          <w:p w14:paraId="5F81F541" w14:textId="54C715C4" w:rsidR="00810079" w:rsidRDefault="00810079" w:rsidP="00BA45C8">
            <w:pPr>
              <w:pStyle w:val="Encabezado"/>
              <w:spacing w:after="240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B58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BA45C8">
              <w:rPr>
                <w:rFonts w:ascii="Arial" w:hAnsi="Arial" w:cs="Arial"/>
                <w:sz w:val="20"/>
                <w:szCs w:val="20"/>
              </w:rPr>
              <w:t>Tesorería Municipal</w:t>
            </w:r>
            <w:r w:rsidRPr="00B87B58">
              <w:rPr>
                <w:rFonts w:ascii="Arial" w:hAnsi="Arial" w:cs="Arial"/>
                <w:sz w:val="20"/>
                <w:szCs w:val="20"/>
              </w:rPr>
              <w:t xml:space="preserve">, sólo otorgará su visto </w:t>
            </w:r>
            <w:r w:rsidR="00B87B58" w:rsidRPr="00B87B58">
              <w:rPr>
                <w:rFonts w:ascii="Arial" w:hAnsi="Arial" w:cs="Arial"/>
                <w:sz w:val="20"/>
                <w:szCs w:val="20"/>
              </w:rPr>
              <w:t>bueno si las acciones contenidas en las fichas técnicas de indicadores de desempeño cuentan con los recursos para su realización; de otra manera, no lo otorgará.</w:t>
            </w:r>
          </w:p>
        </w:tc>
      </w:tr>
      <w:tr w:rsidR="00FE1CA7" w:rsidRPr="00F971E0" w14:paraId="12ABC848" w14:textId="77777777" w:rsidTr="00B83C7A">
        <w:trPr>
          <w:trHeight w:val="162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E620" w14:textId="749ADC5D" w:rsidR="00FE1CA7" w:rsidRDefault="003F7AEC" w:rsidP="00FE1CA7">
            <w:pPr>
              <w:pStyle w:val="Encabez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Sindicatura Municipal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1724" w14:textId="15385F21" w:rsidR="00FE1CA7" w:rsidRDefault="003F7AEC" w:rsidP="00FE1CA7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75A3" w14:textId="167F42A9" w:rsidR="00FE1CA7" w:rsidRDefault="003F7AEC" w:rsidP="005F4E85">
            <w:pPr>
              <w:pStyle w:val="Encabezado"/>
              <w:ind w:left="1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la máxima autoridad en materia de administración, otorga su visto bueno, para dar certidumbre al indicador.</w:t>
            </w:r>
          </w:p>
        </w:tc>
      </w:tr>
      <w:tr w:rsidR="006E2A38" w:rsidRPr="00F971E0" w14:paraId="2E053AD6" w14:textId="77777777" w:rsidTr="00B83C7A">
        <w:trPr>
          <w:trHeight w:val="1623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F325E" w14:textId="58581876" w:rsidR="006E2A38" w:rsidRDefault="003F7AEC" w:rsidP="006E2A38">
            <w:pPr>
              <w:pStyle w:val="Encabez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Presidencia Municipal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C338A" w14:textId="46AF583C" w:rsidR="006E2A38" w:rsidRDefault="003F7AEC" w:rsidP="006E2A38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CA3B" w14:textId="319408E4" w:rsidR="006E2A38" w:rsidRDefault="003F7AEC" w:rsidP="005F4E85">
            <w:pPr>
              <w:pStyle w:val="Encabezado"/>
              <w:ind w:left="2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 la ficha técnica de los indicadores de desempeño, una vez que se completado las siete fases anteriores.</w:t>
            </w:r>
          </w:p>
        </w:tc>
      </w:tr>
    </w:tbl>
    <w:p w14:paraId="70251BA2" w14:textId="77777777" w:rsidR="00360ECE" w:rsidRDefault="00360ECE" w:rsidP="00393164">
      <w:pPr>
        <w:rPr>
          <w:rFonts w:ascii="Arial" w:hAnsi="Arial" w:cs="Arial"/>
          <w:sz w:val="10"/>
          <w:szCs w:val="24"/>
        </w:rPr>
      </w:pPr>
    </w:p>
    <w:tbl>
      <w:tblPr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507"/>
        <w:gridCol w:w="3348"/>
        <w:gridCol w:w="3690"/>
      </w:tblGrid>
      <w:tr w:rsidR="004D7ACE" w:rsidRPr="007A2DFB" w14:paraId="0CE64E03" w14:textId="77777777" w:rsidTr="00152DA9">
        <w:trPr>
          <w:cantSplit/>
          <w:trHeight w:val="1637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38C" w14:textId="77777777" w:rsidR="004D7ACE" w:rsidRPr="0096520E" w:rsidRDefault="004D7ACE" w:rsidP="00DA1BEA">
            <w:pPr>
              <w:suppressLineNumbers/>
              <w:tabs>
                <w:tab w:val="center" w:pos="4986"/>
                <w:tab w:val="left" w:pos="8745"/>
                <w:tab w:val="right" w:pos="9972"/>
              </w:tabs>
              <w:suppressAutoHyphens/>
              <w:spacing w:before="24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</w:pPr>
            <w:r w:rsidRPr="0096520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  <w:t>Elaboró</w:t>
            </w:r>
          </w:p>
          <w:p w14:paraId="146EE8B4" w14:textId="77777777" w:rsidR="004D7ACE" w:rsidRPr="0096520E" w:rsidRDefault="004D7ACE" w:rsidP="00043512">
            <w:pPr>
              <w:suppressLineNumbers/>
              <w:tabs>
                <w:tab w:val="center" w:pos="4986"/>
                <w:tab w:val="left" w:pos="8745"/>
                <w:tab w:val="right" w:pos="9972"/>
              </w:tabs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7DE208DE" w14:textId="20852F4D" w:rsidR="004D7ACE" w:rsidRDefault="00A87F95" w:rsidP="00043512">
            <w:pPr>
              <w:suppressLineNumbers/>
              <w:tabs>
                <w:tab w:val="center" w:pos="4986"/>
                <w:tab w:val="left" w:pos="8745"/>
                <w:tab w:val="right" w:pos="9972"/>
              </w:tabs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  <w:t xml:space="preserve">L.C. </w:t>
            </w:r>
            <w:r w:rsidR="00AF5915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  <w:t>Erick Josué Ríos García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  <w:t>.</w:t>
            </w:r>
          </w:p>
          <w:p w14:paraId="09182610" w14:textId="21EDF4E6" w:rsidR="004D7ACE" w:rsidRPr="0096520E" w:rsidRDefault="00AF5915" w:rsidP="00BA45C8">
            <w:pPr>
              <w:suppressLineNumbers/>
              <w:tabs>
                <w:tab w:val="center" w:pos="4986"/>
                <w:tab w:val="left" w:pos="8745"/>
                <w:tab w:val="right" w:pos="9972"/>
              </w:tabs>
              <w:suppressAutoHyphens/>
              <w:spacing w:line="240" w:lineRule="auto"/>
              <w:ind w:left="-107" w:right="-61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  <w:t>Titular de Órgano Interno de Control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14:paraId="650FE3E2" w14:textId="5D71CE67" w:rsidR="004D7ACE" w:rsidRPr="0096520E" w:rsidRDefault="004D7ACE" w:rsidP="0028772A">
            <w:pPr>
              <w:suppressLineNumbers/>
              <w:tabs>
                <w:tab w:val="center" w:pos="4986"/>
                <w:tab w:val="left" w:pos="8745"/>
                <w:tab w:val="right" w:pos="9972"/>
              </w:tabs>
              <w:suppressAutoHyphens/>
              <w:spacing w:after="0" w:line="240" w:lineRule="auto"/>
              <w:ind w:right="-61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039" w14:textId="27EDBE00" w:rsidR="00152DA9" w:rsidRPr="0096520E" w:rsidRDefault="00BA45C8" w:rsidP="00152DA9">
            <w:pPr>
              <w:suppressLineNumbers/>
              <w:tabs>
                <w:tab w:val="center" w:pos="4986"/>
                <w:tab w:val="left" w:pos="8745"/>
                <w:tab w:val="right" w:pos="9972"/>
              </w:tabs>
              <w:suppressAutoHyphens/>
              <w:spacing w:before="24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  <w:t>Vo. Bo.</w:t>
            </w:r>
          </w:p>
          <w:p w14:paraId="4194BFBF" w14:textId="77777777" w:rsidR="00152DA9" w:rsidRDefault="00152DA9" w:rsidP="00152DA9">
            <w:pPr>
              <w:suppressLineNumbers/>
              <w:tabs>
                <w:tab w:val="center" w:pos="4986"/>
                <w:tab w:val="left" w:pos="8745"/>
                <w:tab w:val="right" w:pos="9972"/>
              </w:tabs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028CD1BD" w14:textId="03C02F8A" w:rsidR="00152DA9" w:rsidRPr="0096520E" w:rsidRDefault="00A87F95" w:rsidP="00152DA9">
            <w:pPr>
              <w:suppressLineNumbers/>
              <w:tabs>
                <w:tab w:val="center" w:pos="4986"/>
                <w:tab w:val="left" w:pos="8745"/>
                <w:tab w:val="right" w:pos="9972"/>
              </w:tabs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  <w:t xml:space="preserve">Lic. </w:t>
            </w:r>
            <w:proofErr w:type="spellStart"/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  <w:t>Orquídia</w:t>
            </w:r>
            <w:proofErr w:type="spellEnd"/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  <w:t xml:space="preserve"> Hernández Mendoza</w:t>
            </w:r>
          </w:p>
          <w:p w14:paraId="18A4FF64" w14:textId="3AD4B853" w:rsidR="004D7ACE" w:rsidRPr="0096520E" w:rsidRDefault="009E55AB" w:rsidP="00152DA9">
            <w:pPr>
              <w:suppressLineNumbers/>
              <w:tabs>
                <w:tab w:val="center" w:pos="4986"/>
                <w:tab w:val="left" w:pos="8745"/>
                <w:tab w:val="right" w:pos="9972"/>
              </w:tabs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eastAsia="ar-SA"/>
              </w:rPr>
              <w:t>Presidenta Municipal</w:t>
            </w:r>
          </w:p>
        </w:tc>
      </w:tr>
    </w:tbl>
    <w:p w14:paraId="24182699" w14:textId="77777777" w:rsidR="004D7ACE" w:rsidRPr="00393164" w:rsidRDefault="004D7ACE" w:rsidP="00393164">
      <w:pPr>
        <w:rPr>
          <w:rFonts w:ascii="Arial" w:hAnsi="Arial" w:cs="Arial"/>
          <w:sz w:val="10"/>
          <w:szCs w:val="24"/>
        </w:rPr>
      </w:pPr>
    </w:p>
    <w:sectPr w:rsidR="004D7ACE" w:rsidRPr="00393164" w:rsidSect="00E170A2">
      <w:headerReference w:type="default" r:id="rId8"/>
      <w:pgSz w:w="12240" w:h="15840" w:code="1"/>
      <w:pgMar w:top="3402" w:right="1134" w:bottom="993" w:left="1134" w:header="714" w:footer="8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07969" w14:textId="77777777" w:rsidR="009144EF" w:rsidRDefault="009144EF" w:rsidP="00BC3B84">
      <w:pPr>
        <w:spacing w:after="0" w:line="240" w:lineRule="auto"/>
      </w:pPr>
      <w:r>
        <w:separator/>
      </w:r>
    </w:p>
  </w:endnote>
  <w:endnote w:type="continuationSeparator" w:id="0">
    <w:p w14:paraId="08748B8B" w14:textId="77777777" w:rsidR="009144EF" w:rsidRDefault="009144EF" w:rsidP="00BC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8AB80" w14:textId="77777777" w:rsidR="009144EF" w:rsidRDefault="009144EF" w:rsidP="00BC3B84">
      <w:pPr>
        <w:spacing w:after="0" w:line="240" w:lineRule="auto"/>
      </w:pPr>
      <w:r>
        <w:separator/>
      </w:r>
    </w:p>
  </w:footnote>
  <w:footnote w:type="continuationSeparator" w:id="0">
    <w:p w14:paraId="560E5B49" w14:textId="77777777" w:rsidR="009144EF" w:rsidRDefault="009144EF" w:rsidP="00BC3B84">
      <w:pPr>
        <w:spacing w:after="0" w:line="240" w:lineRule="auto"/>
      </w:pPr>
      <w:r>
        <w:continuationSeparator/>
      </w:r>
    </w:p>
  </w:footnote>
  <w:footnote w:id="1">
    <w:p w14:paraId="130320F2" w14:textId="78AF0DCE" w:rsidR="002F0DF7" w:rsidRDefault="002F0DF7" w:rsidP="002F0DF7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DE81D" w14:textId="18F7AB7A" w:rsidR="00AB7F7B" w:rsidRDefault="00AB7F7B" w:rsidP="00AB7F7B">
    <w:pPr>
      <w:pStyle w:val="Encabezado"/>
      <w:jc w:val="center"/>
      <w:rPr>
        <w:rFonts w:ascii="Arial" w:hAnsi="Arial" w:cs="Arial"/>
        <w:b/>
        <w:noProof/>
        <w:sz w:val="44"/>
        <w:szCs w:val="44"/>
      </w:rPr>
    </w:pPr>
    <w:r w:rsidRPr="00AB7F7B"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80768" behindDoc="0" locked="0" layoutInCell="1" allowOverlap="1" wp14:anchorId="02E48E91" wp14:editId="039EC16D">
          <wp:simplePos x="0" y="0"/>
          <wp:positionH relativeFrom="column">
            <wp:posOffset>-624840</wp:posOffset>
          </wp:positionH>
          <wp:positionV relativeFrom="paragraph">
            <wp:posOffset>13335</wp:posOffset>
          </wp:positionV>
          <wp:extent cx="1104900" cy="1085850"/>
          <wp:effectExtent l="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903CB" w14:textId="05B4942B" w:rsidR="00BC3B84" w:rsidRDefault="00A87F95" w:rsidP="00AB7F7B">
    <w:pPr>
      <w:pStyle w:val="Encabezado"/>
      <w:jc w:val="center"/>
      <w:rPr>
        <w:rFonts w:ascii="Arial" w:hAnsi="Arial" w:cs="Arial"/>
        <w:b/>
        <w:noProof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AF1667" wp14:editId="248F6294">
          <wp:simplePos x="0" y="0"/>
          <wp:positionH relativeFrom="column">
            <wp:posOffset>5234940</wp:posOffset>
          </wp:positionH>
          <wp:positionV relativeFrom="paragraph">
            <wp:posOffset>512914</wp:posOffset>
          </wp:positionV>
          <wp:extent cx="1240155" cy="675640"/>
          <wp:effectExtent l="0" t="0" r="0" b="0"/>
          <wp:wrapNone/>
          <wp:docPr id="8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" t="15534" r="9192" b="8143"/>
                  <a:stretch/>
                </pic:blipFill>
                <pic:spPr bwMode="auto">
                  <a:xfrm>
                    <a:off x="0" y="0"/>
                    <a:ext cx="1240155" cy="675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B7F7B">
      <w:rPr>
        <w:rFonts w:ascii="Arial" w:hAnsi="Arial" w:cs="Arial"/>
        <w:b/>
        <w:noProof/>
        <w:sz w:val="44"/>
        <w:szCs w:val="44"/>
      </w:rPr>
      <w:t xml:space="preserve">     </w:t>
    </w:r>
    <w:r w:rsidR="00AB7F7B" w:rsidRPr="00AB7F7B">
      <w:rPr>
        <w:rFonts w:ascii="Arial" w:hAnsi="Arial" w:cs="Arial"/>
        <w:b/>
        <w:noProof/>
        <w:sz w:val="44"/>
        <w:szCs w:val="44"/>
      </w:rPr>
      <w:t>H. Ayuntamiento Municipal Constitucional de José joaquín de Herrera.</w:t>
    </w:r>
  </w:p>
  <w:p w14:paraId="53111337" w14:textId="7C207EFC" w:rsidR="00AB7F7B" w:rsidRPr="00AB7F7B" w:rsidRDefault="00AB7F7B" w:rsidP="00AB7F7B">
    <w:pPr>
      <w:pStyle w:val="Encabezado"/>
      <w:jc w:val="center"/>
      <w:rPr>
        <w:rFonts w:ascii="Arial" w:hAnsi="Arial" w:cs="Arial"/>
        <w:b/>
        <w:noProof/>
        <w:sz w:val="20"/>
        <w:szCs w:val="20"/>
      </w:rPr>
    </w:pPr>
  </w:p>
  <w:p w14:paraId="7C6F3069" w14:textId="76A2A4DD" w:rsidR="00AB7F7B" w:rsidRDefault="003C162E" w:rsidP="00AB7F7B">
    <w:pPr>
      <w:pStyle w:val="Encabezado"/>
      <w:jc w:val="center"/>
      <w:rPr>
        <w:rFonts w:ascii="Arial" w:hAnsi="Arial" w:cs="Arial"/>
        <w:b/>
        <w:noProof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t>Órgano Interno de Control</w:t>
    </w:r>
    <w:r w:rsidR="00AB7F7B">
      <w:rPr>
        <w:rFonts w:ascii="Arial" w:hAnsi="Arial" w:cs="Arial"/>
        <w:b/>
        <w:noProof/>
        <w:sz w:val="32"/>
        <w:szCs w:val="32"/>
      </w:rPr>
      <w:t>.</w:t>
    </w:r>
    <w:r w:rsidR="00A87F95" w:rsidRPr="00A87F95">
      <w:rPr>
        <w:noProof/>
      </w:rPr>
      <w:t xml:space="preserve"> </w:t>
    </w:r>
  </w:p>
  <w:p w14:paraId="4D45CA92" w14:textId="5A9CD867" w:rsidR="00AB7F7B" w:rsidRPr="00AB7F7B" w:rsidRDefault="00AB7F7B" w:rsidP="00AB7F7B">
    <w:pPr>
      <w:pStyle w:val="Encabezad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t>Proceso de Aprobación de Indicadores.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F3C68"/>
    <w:multiLevelType w:val="hybridMultilevel"/>
    <w:tmpl w:val="27FE9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E7D3A"/>
    <w:multiLevelType w:val="hybridMultilevel"/>
    <w:tmpl w:val="BBF2A61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42B5E7A"/>
    <w:multiLevelType w:val="hybridMultilevel"/>
    <w:tmpl w:val="7E144C1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9365962">
    <w:abstractNumId w:val="0"/>
  </w:num>
  <w:num w:numId="2" w16cid:durableId="170721676">
    <w:abstractNumId w:val="1"/>
  </w:num>
  <w:num w:numId="3" w16cid:durableId="1459496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9CB"/>
    <w:rsid w:val="00006B19"/>
    <w:rsid w:val="0001131E"/>
    <w:rsid w:val="00013F8F"/>
    <w:rsid w:val="00014BBC"/>
    <w:rsid w:val="000253F3"/>
    <w:rsid w:val="000278DB"/>
    <w:rsid w:val="00030814"/>
    <w:rsid w:val="00034E5A"/>
    <w:rsid w:val="00046556"/>
    <w:rsid w:val="000535B4"/>
    <w:rsid w:val="0005383E"/>
    <w:rsid w:val="000673F7"/>
    <w:rsid w:val="00071B4D"/>
    <w:rsid w:val="0008413B"/>
    <w:rsid w:val="000A3DD3"/>
    <w:rsid w:val="000B0D94"/>
    <w:rsid w:val="000B6FEF"/>
    <w:rsid w:val="000C77E8"/>
    <w:rsid w:val="000E46E0"/>
    <w:rsid w:val="000F72AB"/>
    <w:rsid w:val="001117D1"/>
    <w:rsid w:val="0011192A"/>
    <w:rsid w:val="0012493E"/>
    <w:rsid w:val="00127E01"/>
    <w:rsid w:val="00132618"/>
    <w:rsid w:val="00143FCC"/>
    <w:rsid w:val="00152DA9"/>
    <w:rsid w:val="001625AC"/>
    <w:rsid w:val="00164CAE"/>
    <w:rsid w:val="00175EFA"/>
    <w:rsid w:val="0018214E"/>
    <w:rsid w:val="0019377F"/>
    <w:rsid w:val="0019452E"/>
    <w:rsid w:val="00196938"/>
    <w:rsid w:val="00197009"/>
    <w:rsid w:val="001C148E"/>
    <w:rsid w:val="001C5A6F"/>
    <w:rsid w:val="001D339E"/>
    <w:rsid w:val="001E0B6F"/>
    <w:rsid w:val="001E7AA4"/>
    <w:rsid w:val="001F448B"/>
    <w:rsid w:val="00205620"/>
    <w:rsid w:val="00227E6E"/>
    <w:rsid w:val="00241E9D"/>
    <w:rsid w:val="00247812"/>
    <w:rsid w:val="0026084C"/>
    <w:rsid w:val="0028772A"/>
    <w:rsid w:val="0029193A"/>
    <w:rsid w:val="00292D8C"/>
    <w:rsid w:val="002A55A1"/>
    <w:rsid w:val="002B009E"/>
    <w:rsid w:val="002B078D"/>
    <w:rsid w:val="002C7676"/>
    <w:rsid w:val="002E7FF3"/>
    <w:rsid w:val="002F0DF7"/>
    <w:rsid w:val="00316D2B"/>
    <w:rsid w:val="00354A8F"/>
    <w:rsid w:val="00360ECE"/>
    <w:rsid w:val="00363C74"/>
    <w:rsid w:val="003767AB"/>
    <w:rsid w:val="003768CB"/>
    <w:rsid w:val="00380F43"/>
    <w:rsid w:val="00392329"/>
    <w:rsid w:val="00393164"/>
    <w:rsid w:val="003936B4"/>
    <w:rsid w:val="003A6DE3"/>
    <w:rsid w:val="003B2AA3"/>
    <w:rsid w:val="003B5060"/>
    <w:rsid w:val="003C162E"/>
    <w:rsid w:val="003F7AEC"/>
    <w:rsid w:val="004052EC"/>
    <w:rsid w:val="004158A3"/>
    <w:rsid w:val="00425B24"/>
    <w:rsid w:val="00441DF9"/>
    <w:rsid w:val="00443675"/>
    <w:rsid w:val="004436CE"/>
    <w:rsid w:val="00445D4A"/>
    <w:rsid w:val="00454231"/>
    <w:rsid w:val="00473003"/>
    <w:rsid w:val="0049568B"/>
    <w:rsid w:val="004A0D1E"/>
    <w:rsid w:val="004C45C3"/>
    <w:rsid w:val="004D6AA3"/>
    <w:rsid w:val="004D7ACE"/>
    <w:rsid w:val="005106D2"/>
    <w:rsid w:val="0052360E"/>
    <w:rsid w:val="00554A97"/>
    <w:rsid w:val="00561E39"/>
    <w:rsid w:val="005673E7"/>
    <w:rsid w:val="00581D93"/>
    <w:rsid w:val="00593B88"/>
    <w:rsid w:val="0059585A"/>
    <w:rsid w:val="005A4002"/>
    <w:rsid w:val="005A46BA"/>
    <w:rsid w:val="005A46EB"/>
    <w:rsid w:val="005C5F23"/>
    <w:rsid w:val="005D0F8B"/>
    <w:rsid w:val="005D30D5"/>
    <w:rsid w:val="005D638A"/>
    <w:rsid w:val="005F1711"/>
    <w:rsid w:val="005F4E85"/>
    <w:rsid w:val="00603754"/>
    <w:rsid w:val="00610E86"/>
    <w:rsid w:val="00617DA2"/>
    <w:rsid w:val="006334CD"/>
    <w:rsid w:val="0064135D"/>
    <w:rsid w:val="00660721"/>
    <w:rsid w:val="00661C88"/>
    <w:rsid w:val="00664B3C"/>
    <w:rsid w:val="00696B68"/>
    <w:rsid w:val="006A6F06"/>
    <w:rsid w:val="006B410D"/>
    <w:rsid w:val="006C24C4"/>
    <w:rsid w:val="006C4757"/>
    <w:rsid w:val="006E2A38"/>
    <w:rsid w:val="006E485C"/>
    <w:rsid w:val="0070124D"/>
    <w:rsid w:val="00724A14"/>
    <w:rsid w:val="007258D3"/>
    <w:rsid w:val="007301B0"/>
    <w:rsid w:val="00734C1C"/>
    <w:rsid w:val="007419F0"/>
    <w:rsid w:val="00751650"/>
    <w:rsid w:val="0075618B"/>
    <w:rsid w:val="007875F3"/>
    <w:rsid w:val="00796194"/>
    <w:rsid w:val="0079685E"/>
    <w:rsid w:val="007B6464"/>
    <w:rsid w:val="007C1BB7"/>
    <w:rsid w:val="007C498D"/>
    <w:rsid w:val="007C76C0"/>
    <w:rsid w:val="007E474C"/>
    <w:rsid w:val="00810079"/>
    <w:rsid w:val="00810758"/>
    <w:rsid w:val="00833F8B"/>
    <w:rsid w:val="00840F4C"/>
    <w:rsid w:val="0084254A"/>
    <w:rsid w:val="008676ED"/>
    <w:rsid w:val="008809CC"/>
    <w:rsid w:val="00880E44"/>
    <w:rsid w:val="00886238"/>
    <w:rsid w:val="00894240"/>
    <w:rsid w:val="008B5419"/>
    <w:rsid w:val="008B6347"/>
    <w:rsid w:val="008C4C3B"/>
    <w:rsid w:val="008D0872"/>
    <w:rsid w:val="008F3FAF"/>
    <w:rsid w:val="009144EF"/>
    <w:rsid w:val="00915337"/>
    <w:rsid w:val="0092456F"/>
    <w:rsid w:val="00926618"/>
    <w:rsid w:val="00944712"/>
    <w:rsid w:val="00950D69"/>
    <w:rsid w:val="00950FD9"/>
    <w:rsid w:val="00951954"/>
    <w:rsid w:val="00951F8F"/>
    <w:rsid w:val="00952D44"/>
    <w:rsid w:val="0096457A"/>
    <w:rsid w:val="009840BF"/>
    <w:rsid w:val="0099168B"/>
    <w:rsid w:val="0099710E"/>
    <w:rsid w:val="00997A15"/>
    <w:rsid w:val="009A2135"/>
    <w:rsid w:val="009A5313"/>
    <w:rsid w:val="009A6820"/>
    <w:rsid w:val="009B6826"/>
    <w:rsid w:val="009D43C5"/>
    <w:rsid w:val="009E55AB"/>
    <w:rsid w:val="00A0733E"/>
    <w:rsid w:val="00A129CB"/>
    <w:rsid w:val="00A41CEA"/>
    <w:rsid w:val="00A52B44"/>
    <w:rsid w:val="00A5557F"/>
    <w:rsid w:val="00A70EE5"/>
    <w:rsid w:val="00A7118C"/>
    <w:rsid w:val="00A721D3"/>
    <w:rsid w:val="00A7290C"/>
    <w:rsid w:val="00A8405C"/>
    <w:rsid w:val="00A85E78"/>
    <w:rsid w:val="00A873D7"/>
    <w:rsid w:val="00A87B96"/>
    <w:rsid w:val="00A87F95"/>
    <w:rsid w:val="00AA35AC"/>
    <w:rsid w:val="00AB7F7B"/>
    <w:rsid w:val="00AD0677"/>
    <w:rsid w:val="00AD1E73"/>
    <w:rsid w:val="00AE2D85"/>
    <w:rsid w:val="00AE4B8C"/>
    <w:rsid w:val="00AF2B25"/>
    <w:rsid w:val="00AF5915"/>
    <w:rsid w:val="00B065C2"/>
    <w:rsid w:val="00B12740"/>
    <w:rsid w:val="00B15E94"/>
    <w:rsid w:val="00B22EA5"/>
    <w:rsid w:val="00B27A07"/>
    <w:rsid w:val="00B44355"/>
    <w:rsid w:val="00B46040"/>
    <w:rsid w:val="00B46FD3"/>
    <w:rsid w:val="00B520E9"/>
    <w:rsid w:val="00B66FB6"/>
    <w:rsid w:val="00B72516"/>
    <w:rsid w:val="00B75818"/>
    <w:rsid w:val="00B83C7A"/>
    <w:rsid w:val="00B83DE8"/>
    <w:rsid w:val="00B840F1"/>
    <w:rsid w:val="00B87B58"/>
    <w:rsid w:val="00B90878"/>
    <w:rsid w:val="00B9094F"/>
    <w:rsid w:val="00B93539"/>
    <w:rsid w:val="00B9525A"/>
    <w:rsid w:val="00B960B7"/>
    <w:rsid w:val="00BA1624"/>
    <w:rsid w:val="00BA45C8"/>
    <w:rsid w:val="00BC1783"/>
    <w:rsid w:val="00BC3B84"/>
    <w:rsid w:val="00BD45C3"/>
    <w:rsid w:val="00BD68BF"/>
    <w:rsid w:val="00BE0AB6"/>
    <w:rsid w:val="00BE5E5C"/>
    <w:rsid w:val="00BE6C06"/>
    <w:rsid w:val="00BF0FCA"/>
    <w:rsid w:val="00C02269"/>
    <w:rsid w:val="00C110E3"/>
    <w:rsid w:val="00C11163"/>
    <w:rsid w:val="00C14479"/>
    <w:rsid w:val="00C14914"/>
    <w:rsid w:val="00C302DD"/>
    <w:rsid w:val="00C340A8"/>
    <w:rsid w:val="00C40928"/>
    <w:rsid w:val="00C45911"/>
    <w:rsid w:val="00C516FD"/>
    <w:rsid w:val="00C61985"/>
    <w:rsid w:val="00C67871"/>
    <w:rsid w:val="00C72101"/>
    <w:rsid w:val="00C95FEB"/>
    <w:rsid w:val="00C96E7E"/>
    <w:rsid w:val="00CA22F5"/>
    <w:rsid w:val="00CA3CEF"/>
    <w:rsid w:val="00CB42A5"/>
    <w:rsid w:val="00CC007A"/>
    <w:rsid w:val="00CD24E0"/>
    <w:rsid w:val="00CD72A6"/>
    <w:rsid w:val="00CD742C"/>
    <w:rsid w:val="00D10462"/>
    <w:rsid w:val="00D12263"/>
    <w:rsid w:val="00D14054"/>
    <w:rsid w:val="00D1586B"/>
    <w:rsid w:val="00D16CB8"/>
    <w:rsid w:val="00D26049"/>
    <w:rsid w:val="00D44BEA"/>
    <w:rsid w:val="00D452B8"/>
    <w:rsid w:val="00D472BA"/>
    <w:rsid w:val="00D51BD4"/>
    <w:rsid w:val="00D63E9E"/>
    <w:rsid w:val="00D64F3B"/>
    <w:rsid w:val="00D6630F"/>
    <w:rsid w:val="00D72821"/>
    <w:rsid w:val="00D72849"/>
    <w:rsid w:val="00D7461F"/>
    <w:rsid w:val="00D75DB1"/>
    <w:rsid w:val="00D76E2A"/>
    <w:rsid w:val="00D8632E"/>
    <w:rsid w:val="00D94446"/>
    <w:rsid w:val="00DA03ED"/>
    <w:rsid w:val="00DA0979"/>
    <w:rsid w:val="00DA1BEA"/>
    <w:rsid w:val="00DA297F"/>
    <w:rsid w:val="00DA7EAA"/>
    <w:rsid w:val="00DB6C4F"/>
    <w:rsid w:val="00DC2518"/>
    <w:rsid w:val="00DF4DBD"/>
    <w:rsid w:val="00DF5718"/>
    <w:rsid w:val="00E170A2"/>
    <w:rsid w:val="00E36E41"/>
    <w:rsid w:val="00E42FC6"/>
    <w:rsid w:val="00E506B9"/>
    <w:rsid w:val="00E55E06"/>
    <w:rsid w:val="00E61397"/>
    <w:rsid w:val="00E636D2"/>
    <w:rsid w:val="00E74759"/>
    <w:rsid w:val="00E770B2"/>
    <w:rsid w:val="00E80B4F"/>
    <w:rsid w:val="00E83E37"/>
    <w:rsid w:val="00E85EDD"/>
    <w:rsid w:val="00E9594C"/>
    <w:rsid w:val="00EA31F4"/>
    <w:rsid w:val="00EC5CED"/>
    <w:rsid w:val="00ED22B6"/>
    <w:rsid w:val="00EE4465"/>
    <w:rsid w:val="00EE6644"/>
    <w:rsid w:val="00EF1FE4"/>
    <w:rsid w:val="00F04456"/>
    <w:rsid w:val="00F366E3"/>
    <w:rsid w:val="00F40306"/>
    <w:rsid w:val="00F65A0D"/>
    <w:rsid w:val="00F73FAD"/>
    <w:rsid w:val="00F80AE4"/>
    <w:rsid w:val="00F95B0E"/>
    <w:rsid w:val="00F96230"/>
    <w:rsid w:val="00F971E0"/>
    <w:rsid w:val="00FA54D5"/>
    <w:rsid w:val="00FB1928"/>
    <w:rsid w:val="00FB7E0D"/>
    <w:rsid w:val="00FD0ADE"/>
    <w:rsid w:val="00FD1D53"/>
    <w:rsid w:val="00FE1CA7"/>
    <w:rsid w:val="00FE2D8F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C05F3"/>
  <w15:docId w15:val="{80A61FBA-121B-4922-8C66-1E8DED54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84"/>
  </w:style>
  <w:style w:type="paragraph" w:styleId="Piedepgina">
    <w:name w:val="footer"/>
    <w:basedOn w:val="Normal"/>
    <w:link w:val="PiedepginaCar"/>
    <w:uiPriority w:val="99"/>
    <w:unhideWhenUsed/>
    <w:rsid w:val="00BC3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84"/>
  </w:style>
  <w:style w:type="table" w:styleId="Tablaconcuadrcula">
    <w:name w:val="Table Grid"/>
    <w:basedOn w:val="Tablanormal"/>
    <w:uiPriority w:val="59"/>
    <w:rsid w:val="00BC3B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97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5557F"/>
    <w:pPr>
      <w:spacing w:after="0" w:line="240" w:lineRule="auto"/>
    </w:pPr>
  </w:style>
  <w:style w:type="paragraph" w:customStyle="1" w:styleId="Default">
    <w:name w:val="Default"/>
    <w:rsid w:val="00D2604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30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30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3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ctor%20Salgado%20A\Documents\05.%20ADMINISTRACIONES%20P&#218;BLICAS\01.%20ADMINISTRACI&#211;N%202005%20-%202011\04.%20MANUALES%20DE%20LA%20DGAyDP\02.%20MANUAL%20DE%20PROCESOS\04.%20FORMATO%20PARA%20PROCES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1C7C74-F354-41BE-8313-727A2403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04. FORMATO PARA PROCESOS.dotx</Template>
  <TotalTime>246</TotalTime>
  <Pages>3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Guerrero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Salgado Altamirano</dc:creator>
  <cp:lastModifiedBy>Esteban Hermenegildo Abarca García</cp:lastModifiedBy>
  <cp:revision>40</cp:revision>
  <cp:lastPrinted>2020-03-03T18:05:00Z</cp:lastPrinted>
  <dcterms:created xsi:type="dcterms:W3CDTF">2019-09-10T15:10:00Z</dcterms:created>
  <dcterms:modified xsi:type="dcterms:W3CDTF">2024-11-02T01:10:00Z</dcterms:modified>
</cp:coreProperties>
</file>